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0983C" w14:textId="759CEBF8" w:rsidR="007462DB" w:rsidRDefault="007462DB" w:rsidP="00DE3B21">
      <w:pPr>
        <w:spacing w:line="276" w:lineRule="auto"/>
        <w:jc w:val="center"/>
        <w:rPr>
          <w:b/>
          <w:bCs/>
          <w:sz w:val="40"/>
          <w:szCs w:val="40"/>
        </w:rPr>
      </w:pPr>
      <w:r>
        <w:rPr>
          <w:noProof/>
        </w:rPr>
        <w:drawing>
          <wp:inline distT="0" distB="0" distL="0" distR="0" wp14:anchorId="20156F73" wp14:editId="7161470C">
            <wp:extent cx="4953817" cy="754058"/>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504" cy="764513"/>
                    </a:xfrm>
                    <a:prstGeom prst="rect">
                      <a:avLst/>
                    </a:prstGeom>
                    <a:noFill/>
                    <a:ln>
                      <a:noFill/>
                    </a:ln>
                  </pic:spPr>
                </pic:pic>
              </a:graphicData>
            </a:graphic>
          </wp:inline>
        </w:drawing>
      </w:r>
    </w:p>
    <w:p w14:paraId="030A3B41" w14:textId="77777777" w:rsidR="00BF78D2" w:rsidRPr="00BB7239" w:rsidRDefault="00BF78D2" w:rsidP="00BB7239">
      <w:pPr>
        <w:spacing w:after="80" w:line="276" w:lineRule="auto"/>
        <w:jc w:val="center"/>
        <w:rPr>
          <w:b/>
          <w:bCs/>
          <w:sz w:val="16"/>
          <w:szCs w:val="16"/>
        </w:rPr>
      </w:pPr>
    </w:p>
    <w:p w14:paraId="03EF38E8" w14:textId="5CDDA712" w:rsidR="00DE3B21" w:rsidRDefault="00DE3B21" w:rsidP="00DE3B21">
      <w:pPr>
        <w:spacing w:line="276" w:lineRule="auto"/>
        <w:jc w:val="center"/>
        <w:rPr>
          <w:sz w:val="40"/>
          <w:szCs w:val="40"/>
        </w:rPr>
      </w:pPr>
      <w:r>
        <w:rPr>
          <w:b/>
          <w:bCs/>
          <w:sz w:val="40"/>
          <w:szCs w:val="40"/>
        </w:rPr>
        <w:t>HEINZ GÄRTNER</w:t>
      </w:r>
    </w:p>
    <w:p w14:paraId="0B66C439" w14:textId="6A5C447F" w:rsidR="00DE3B21" w:rsidRDefault="00DE3B21" w:rsidP="00DE3B21">
      <w:pPr>
        <w:spacing w:line="276" w:lineRule="auto"/>
        <w:jc w:val="center"/>
        <w:rPr>
          <w:sz w:val="40"/>
          <w:szCs w:val="40"/>
        </w:rPr>
      </w:pPr>
      <w:r>
        <w:rPr>
          <w:sz w:val="40"/>
          <w:szCs w:val="40"/>
        </w:rPr>
        <w:t>Politikwissenschaftler</w:t>
      </w:r>
    </w:p>
    <w:p w14:paraId="70BCB6CB" w14:textId="58A6B24B" w:rsidR="007462DB" w:rsidRPr="00BB7239" w:rsidRDefault="007462DB" w:rsidP="00BB7239">
      <w:pPr>
        <w:spacing w:after="80" w:line="276" w:lineRule="auto"/>
        <w:jc w:val="center"/>
        <w:rPr>
          <w:sz w:val="16"/>
          <w:szCs w:val="16"/>
        </w:rPr>
      </w:pPr>
    </w:p>
    <w:p w14:paraId="0E12D16C" w14:textId="206A605E" w:rsidR="007462DB" w:rsidRDefault="007462DB" w:rsidP="007462DB">
      <w:pPr>
        <w:spacing w:line="276" w:lineRule="auto"/>
        <w:rPr>
          <w:rFonts w:cstheme="minorHAnsi"/>
          <w:color w:val="000000"/>
          <w:spacing w:val="-2"/>
          <w:sz w:val="32"/>
          <w:szCs w:val="32"/>
        </w:rPr>
      </w:pPr>
      <w:r>
        <w:rPr>
          <w:rFonts w:cstheme="minorHAnsi"/>
          <w:color w:val="000000"/>
          <w:spacing w:val="-2"/>
          <w:sz w:val="32"/>
          <w:szCs w:val="32"/>
        </w:rPr>
        <w:t xml:space="preserve">Da es vom Statement von </w:t>
      </w:r>
      <w:r w:rsidRPr="00DE3B21">
        <w:rPr>
          <w:rFonts w:cstheme="minorHAnsi"/>
          <w:color w:val="000000"/>
          <w:spacing w:val="-2"/>
          <w:sz w:val="32"/>
          <w:szCs w:val="32"/>
        </w:rPr>
        <w:t>Univ.- Prof. Dr. Heinz Gärtner</w:t>
      </w:r>
      <w:r>
        <w:rPr>
          <w:rFonts w:cstheme="minorHAnsi"/>
          <w:color w:val="000000"/>
          <w:spacing w:val="-2"/>
          <w:sz w:val="32"/>
          <w:szCs w:val="32"/>
        </w:rPr>
        <w:t xml:space="preserve"> bei der Pressekonferenz am 14. 9. 2022 keine Transkription gibt, hat uns </w:t>
      </w:r>
      <w:r w:rsidR="00BF78D2">
        <w:rPr>
          <w:rFonts w:cstheme="minorHAnsi"/>
          <w:color w:val="000000"/>
          <w:spacing w:val="-2"/>
          <w:sz w:val="32"/>
          <w:szCs w:val="32"/>
        </w:rPr>
        <w:t xml:space="preserve">Herr Univ.- </w:t>
      </w:r>
      <w:r>
        <w:rPr>
          <w:rFonts w:cstheme="minorHAnsi"/>
          <w:color w:val="000000"/>
          <w:spacing w:val="-2"/>
          <w:sz w:val="32"/>
          <w:szCs w:val="32"/>
        </w:rPr>
        <w:t xml:space="preserve">Prof. </w:t>
      </w:r>
      <w:r w:rsidR="00BF78D2">
        <w:rPr>
          <w:rFonts w:cstheme="minorHAnsi"/>
          <w:color w:val="000000"/>
          <w:spacing w:val="-2"/>
          <w:sz w:val="32"/>
          <w:szCs w:val="32"/>
        </w:rPr>
        <w:t xml:space="preserve">Dr. </w:t>
      </w:r>
      <w:r>
        <w:rPr>
          <w:rFonts w:cstheme="minorHAnsi"/>
          <w:color w:val="000000"/>
          <w:spacing w:val="-2"/>
          <w:sz w:val="32"/>
          <w:szCs w:val="32"/>
        </w:rPr>
        <w:t>Gärtner freundlicherweise stellvertretend dafür den folgenden Text zur Veröffentlichung auf dieser Seite zur Verfügung gestellt. Dafür herzlichen Dank!</w:t>
      </w:r>
    </w:p>
    <w:p w14:paraId="79A5183C" w14:textId="4D9FA9A3" w:rsidR="007462DB" w:rsidRPr="00BB7239" w:rsidRDefault="007462DB" w:rsidP="007462DB">
      <w:pPr>
        <w:spacing w:line="276" w:lineRule="auto"/>
        <w:rPr>
          <w:rFonts w:cstheme="minorHAnsi"/>
          <w:color w:val="000000"/>
          <w:spacing w:val="-2"/>
          <w:sz w:val="16"/>
          <w:szCs w:val="16"/>
        </w:rPr>
      </w:pPr>
    </w:p>
    <w:p w14:paraId="013BA52A" w14:textId="71D2AC6C" w:rsidR="007462DB" w:rsidRPr="00BB7239" w:rsidRDefault="007462DB" w:rsidP="00BB7239">
      <w:pPr>
        <w:spacing w:line="276" w:lineRule="auto"/>
        <w:jc w:val="center"/>
        <w:rPr>
          <w:rFonts w:cstheme="minorHAnsi"/>
          <w:b/>
          <w:bCs/>
          <w:color w:val="000000"/>
          <w:spacing w:val="-2"/>
          <w:sz w:val="56"/>
          <w:szCs w:val="56"/>
        </w:rPr>
      </w:pPr>
      <w:r w:rsidRPr="00BB7239">
        <w:rPr>
          <w:rFonts w:cstheme="minorHAnsi"/>
          <w:b/>
          <w:bCs/>
          <w:color w:val="000000"/>
          <w:spacing w:val="-2"/>
          <w:sz w:val="56"/>
          <w:szCs w:val="56"/>
        </w:rPr>
        <w:t>Zwischen den Blöcken</w:t>
      </w:r>
    </w:p>
    <w:p w14:paraId="3709AB41" w14:textId="1F608E68" w:rsidR="00DE3B21" w:rsidRPr="00BB7239" w:rsidRDefault="007462DB" w:rsidP="00BB7239">
      <w:pPr>
        <w:spacing w:line="276" w:lineRule="auto"/>
        <w:jc w:val="center"/>
        <w:rPr>
          <w:sz w:val="40"/>
          <w:szCs w:val="40"/>
        </w:rPr>
      </w:pPr>
      <w:r w:rsidRPr="00BB7239">
        <w:rPr>
          <w:rFonts w:cstheme="minorHAnsi"/>
          <w:color w:val="000000"/>
          <w:spacing w:val="-2"/>
          <w:sz w:val="40"/>
          <w:szCs w:val="40"/>
        </w:rPr>
        <w:t>Neutralität und Bündnisfreiheit</w:t>
      </w:r>
    </w:p>
    <w:p w14:paraId="5643FB47" w14:textId="6E82590B" w:rsidR="00BF78D2" w:rsidRPr="00BB7239" w:rsidRDefault="00BF78D2" w:rsidP="00BB7239">
      <w:pPr>
        <w:spacing w:line="276" w:lineRule="auto"/>
        <w:jc w:val="center"/>
        <w:rPr>
          <w:sz w:val="36"/>
          <w:szCs w:val="36"/>
        </w:rPr>
      </w:pPr>
      <w:r w:rsidRPr="00BB7239">
        <w:rPr>
          <w:sz w:val="36"/>
          <w:szCs w:val="36"/>
        </w:rPr>
        <w:t>Heinz Gärtner</w:t>
      </w:r>
    </w:p>
    <w:p w14:paraId="6FD9E88C" w14:textId="77777777" w:rsidR="00BB7239" w:rsidRPr="00BB7239" w:rsidRDefault="00BB7239" w:rsidP="00BF78D2">
      <w:pPr>
        <w:shd w:val="clear" w:color="auto" w:fill="FFFFFF"/>
        <w:spacing w:after="0" w:line="240" w:lineRule="auto"/>
        <w:rPr>
          <w:rFonts w:eastAsia="Times New Roman" w:cstheme="minorHAnsi"/>
          <w:color w:val="333333"/>
          <w:sz w:val="8"/>
          <w:szCs w:val="8"/>
          <w:lang w:eastAsia="de-AT"/>
        </w:rPr>
      </w:pPr>
    </w:p>
    <w:p w14:paraId="4C89E8AA" w14:textId="610390A5" w:rsidR="00BB7239" w:rsidRDefault="00DE3B21" w:rsidP="00BF78D2">
      <w:pPr>
        <w:shd w:val="clear" w:color="auto" w:fill="FFFFFF"/>
        <w:spacing w:after="0" w:line="240" w:lineRule="auto"/>
        <w:rPr>
          <w:rFonts w:eastAsia="Times New Roman" w:cstheme="minorHAnsi"/>
          <w:color w:val="333333"/>
          <w:sz w:val="28"/>
          <w:szCs w:val="28"/>
          <w:lang w:eastAsia="de-AT"/>
        </w:rPr>
      </w:pPr>
      <w:r w:rsidRPr="00DE3B21">
        <w:rPr>
          <w:rFonts w:eastAsia="Times New Roman" w:cstheme="minorHAnsi"/>
          <w:color w:val="333333"/>
          <w:sz w:val="28"/>
          <w:szCs w:val="28"/>
          <w:lang w:eastAsia="de-AT"/>
        </w:rPr>
        <w:t>In Situationen der Polarisierung können kleinere Staaten einem Bündnis beitreten oder neutral und bündnisfrei bleiben. Neutralität kann eine Sicherheitsgarantie sein. Was zeichnet Neutralität und Bündnisfreiheit aus? Welche Rolle spielten neutrale Staaten im Kalten Krieg? Seite 33–37.</w:t>
      </w:r>
    </w:p>
    <w:p w14:paraId="60D0F1CA" w14:textId="77777777" w:rsidR="00BB7239" w:rsidRPr="00BB7239" w:rsidRDefault="00BB7239" w:rsidP="00BF78D2">
      <w:pPr>
        <w:shd w:val="clear" w:color="auto" w:fill="FFFFFF"/>
        <w:spacing w:after="0" w:line="240" w:lineRule="auto"/>
        <w:rPr>
          <w:rFonts w:eastAsia="Times New Roman" w:cstheme="minorHAnsi"/>
          <w:color w:val="333333"/>
          <w:sz w:val="8"/>
          <w:szCs w:val="8"/>
          <w:lang w:eastAsia="de-AT"/>
        </w:rPr>
      </w:pPr>
    </w:p>
    <w:p w14:paraId="7EA39DBA" w14:textId="61AFA184" w:rsidR="00DE3B21" w:rsidRPr="00DE3B21" w:rsidRDefault="00DE3B21" w:rsidP="00BF78D2">
      <w:pPr>
        <w:shd w:val="clear" w:color="auto" w:fill="FFFFFF"/>
        <w:spacing w:after="0" w:line="240" w:lineRule="auto"/>
        <w:rPr>
          <w:rFonts w:eastAsia="Times New Roman" w:cstheme="minorHAnsi"/>
          <w:color w:val="333333"/>
          <w:sz w:val="28"/>
          <w:szCs w:val="28"/>
          <w:lang w:eastAsia="de-AT"/>
        </w:rPr>
      </w:pPr>
      <w:r w:rsidRPr="00DE3B21">
        <w:rPr>
          <w:rFonts w:eastAsia="Times New Roman" w:cstheme="minorHAnsi"/>
          <w:color w:val="333333"/>
          <w:sz w:val="28"/>
          <w:szCs w:val="28"/>
          <w:u w:val="single"/>
          <w:lang w:eastAsia="de-AT"/>
        </w:rPr>
        <w:t>Anhang und link:</w:t>
      </w:r>
    </w:p>
    <w:p w14:paraId="65E6EE04" w14:textId="77777777" w:rsidR="00DE3B21" w:rsidRPr="00DE3B21" w:rsidRDefault="00DE3B21" w:rsidP="00BF78D2">
      <w:pPr>
        <w:shd w:val="clear" w:color="auto" w:fill="FFFFFF"/>
        <w:spacing w:after="0" w:line="240" w:lineRule="auto"/>
        <w:rPr>
          <w:rFonts w:eastAsia="Times New Roman" w:cstheme="minorHAnsi"/>
          <w:color w:val="333333"/>
          <w:sz w:val="28"/>
          <w:szCs w:val="28"/>
          <w:lang w:eastAsia="de-AT"/>
        </w:rPr>
      </w:pPr>
      <w:hyperlink r:id="rId5" w:tgtFrame="_blank" w:history="1">
        <w:r w:rsidRPr="00DE3B21">
          <w:rPr>
            <w:rFonts w:eastAsia="Times New Roman" w:cstheme="minorHAnsi"/>
            <w:color w:val="0782C1"/>
            <w:sz w:val="28"/>
            <w:szCs w:val="28"/>
            <w:u w:val="single"/>
            <w:lang w:eastAsia="de-AT"/>
          </w:rPr>
          <w:t>https://www.bpb.de/shop/zeitschriften/apuz/internationale-sicherheit-2022/513512/zwischen-den-bloecken/</w:t>
        </w:r>
      </w:hyperlink>
    </w:p>
    <w:p w14:paraId="79A96675" w14:textId="77777777" w:rsidR="00BB7239" w:rsidRPr="00BB7239" w:rsidRDefault="00BB7239" w:rsidP="00BF78D2">
      <w:pPr>
        <w:shd w:val="clear" w:color="auto" w:fill="FFFFFF"/>
        <w:spacing w:after="0" w:line="240" w:lineRule="auto"/>
        <w:rPr>
          <w:rFonts w:eastAsia="Times New Roman" w:cstheme="minorHAnsi"/>
          <w:color w:val="333333"/>
          <w:sz w:val="8"/>
          <w:szCs w:val="8"/>
          <w:lang w:eastAsia="de-AT"/>
        </w:rPr>
      </w:pPr>
    </w:p>
    <w:p w14:paraId="6745FC9F" w14:textId="4AD8C925" w:rsidR="00DE3B21" w:rsidRPr="00DE3B21" w:rsidRDefault="00DE3B21" w:rsidP="00BF78D2">
      <w:pPr>
        <w:shd w:val="clear" w:color="auto" w:fill="FFFFFF"/>
        <w:spacing w:after="0" w:line="240" w:lineRule="auto"/>
        <w:rPr>
          <w:rFonts w:eastAsia="Times New Roman" w:cstheme="minorHAnsi"/>
          <w:color w:val="333333"/>
          <w:sz w:val="28"/>
          <w:szCs w:val="28"/>
          <w:lang w:eastAsia="de-AT"/>
        </w:rPr>
      </w:pPr>
      <w:r w:rsidRPr="00DE3B21">
        <w:rPr>
          <w:rFonts w:eastAsia="Times New Roman" w:cstheme="minorHAnsi"/>
          <w:color w:val="333333"/>
          <w:sz w:val="28"/>
          <w:szCs w:val="28"/>
          <w:lang w:eastAsia="de-AT"/>
        </w:rPr>
        <w:t>(Aus Politik und Zeitgeschichte, Internationale Sicherheit, Zeitschrift der Bundeszentrale für Politische Bildung, Beilage zur Wochenzeitung </w:t>
      </w:r>
      <w:r w:rsidRPr="00DE3B21">
        <w:rPr>
          <w:rFonts w:eastAsia="Times New Roman" w:cstheme="minorHAnsi"/>
          <w:b/>
          <w:bCs/>
          <w:color w:val="333333"/>
          <w:sz w:val="28"/>
          <w:szCs w:val="28"/>
          <w:lang w:eastAsia="de-AT"/>
        </w:rPr>
        <w:t>Das Parlament, </w:t>
      </w:r>
      <w:r w:rsidRPr="00DE3B21">
        <w:rPr>
          <w:rFonts w:eastAsia="Times New Roman" w:cstheme="minorHAnsi"/>
          <w:color w:val="333333"/>
          <w:sz w:val="28"/>
          <w:szCs w:val="28"/>
          <w:lang w:eastAsia="de-AT"/>
        </w:rPr>
        <w:t>72. Jahrgang, 40–41/2022, 4. Oktober 2022)</w:t>
      </w:r>
    </w:p>
    <w:p w14:paraId="02F9528E" w14:textId="77777777" w:rsidR="00DE3B21" w:rsidRPr="00DE3B21" w:rsidRDefault="00DE3B21" w:rsidP="00BF78D2">
      <w:pPr>
        <w:shd w:val="clear" w:color="auto" w:fill="FFFFFF"/>
        <w:spacing w:after="0" w:line="240" w:lineRule="auto"/>
        <w:rPr>
          <w:rFonts w:eastAsia="Times New Roman" w:cstheme="minorHAnsi"/>
          <w:color w:val="333333"/>
          <w:sz w:val="8"/>
          <w:szCs w:val="8"/>
          <w:lang w:eastAsia="de-AT"/>
        </w:rPr>
      </w:pPr>
      <w:r w:rsidRPr="00DE3B21">
        <w:rPr>
          <w:rFonts w:eastAsia="Times New Roman" w:cstheme="minorHAnsi"/>
          <w:color w:val="1F497D"/>
          <w:sz w:val="8"/>
          <w:szCs w:val="8"/>
          <w:lang w:eastAsia="de-AT"/>
        </w:rPr>
        <w:t> </w:t>
      </w:r>
    </w:p>
    <w:p w14:paraId="31E0CF8E" w14:textId="62AB749C" w:rsidR="00DE3B21" w:rsidRPr="00DE3B21" w:rsidRDefault="00BB7239" w:rsidP="00BF78D2">
      <w:pPr>
        <w:shd w:val="clear" w:color="auto" w:fill="FFFFFF"/>
        <w:spacing w:after="0" w:line="240" w:lineRule="auto"/>
        <w:rPr>
          <w:rFonts w:eastAsia="Times New Roman" w:cstheme="minorHAnsi"/>
          <w:color w:val="333333"/>
          <w:sz w:val="8"/>
          <w:szCs w:val="8"/>
          <w:lang w:eastAsia="de-AT"/>
        </w:rPr>
      </w:pPr>
      <w:r w:rsidRPr="00BB7239">
        <w:rPr>
          <w:rFonts w:cstheme="minorHAnsi"/>
          <w:color w:val="000000"/>
          <w:spacing w:val="-2"/>
          <w:sz w:val="28"/>
          <w:szCs w:val="28"/>
        </w:rPr>
        <w:t>Dieser Text ist unter der Creative Commons Lizenz </w:t>
      </w:r>
      <w:hyperlink r:id="rId6" w:tgtFrame="extern" w:history="1">
        <w:r w:rsidRPr="00BB7239">
          <w:rPr>
            <w:rStyle w:val="Hyperlink"/>
            <w:rFonts w:cstheme="minorHAnsi"/>
            <w:spacing w:val="-2"/>
            <w:sz w:val="28"/>
            <w:szCs w:val="28"/>
            <w:bdr w:val="none" w:sz="0" w:space="0" w:color="auto" w:frame="1"/>
          </w:rPr>
          <w:t>"CC BY-N</w:t>
        </w:r>
        <w:r w:rsidRPr="00BB7239">
          <w:rPr>
            <w:rStyle w:val="Hyperlink"/>
            <w:rFonts w:cstheme="minorHAnsi"/>
            <w:spacing w:val="-2"/>
            <w:sz w:val="28"/>
            <w:szCs w:val="28"/>
            <w:bdr w:val="none" w:sz="0" w:space="0" w:color="auto" w:frame="1"/>
          </w:rPr>
          <w:t>C</w:t>
        </w:r>
        <w:r w:rsidRPr="00BB7239">
          <w:rPr>
            <w:rStyle w:val="Hyperlink"/>
            <w:rFonts w:cstheme="minorHAnsi"/>
            <w:spacing w:val="-2"/>
            <w:sz w:val="28"/>
            <w:szCs w:val="28"/>
            <w:bdr w:val="none" w:sz="0" w:space="0" w:color="auto" w:frame="1"/>
          </w:rPr>
          <w:t>-ND 3.0 DE - Namensnennung - Nicht-kommerziell - Keine Bearbeitung 3.0 Deutschland"</w:t>
        </w:r>
      </w:hyperlink>
      <w:r w:rsidRPr="00BB7239">
        <w:rPr>
          <w:rFonts w:cstheme="minorHAnsi"/>
          <w:color w:val="000000"/>
          <w:spacing w:val="-2"/>
          <w:sz w:val="28"/>
          <w:szCs w:val="28"/>
        </w:rPr>
        <w:t xml:space="preserve"> veröffentlicht. Autor/-in: Heinz Gärtner für </w:t>
      </w:r>
      <w:proofErr w:type="spellStart"/>
      <w:r w:rsidRPr="00BB7239">
        <w:rPr>
          <w:rFonts w:cstheme="minorHAnsi"/>
          <w:color w:val="000000"/>
          <w:spacing w:val="-2"/>
          <w:sz w:val="28"/>
          <w:szCs w:val="28"/>
        </w:rPr>
        <w:t>Aus</w:t>
      </w:r>
      <w:proofErr w:type="spellEnd"/>
      <w:r w:rsidRPr="00BB7239">
        <w:rPr>
          <w:rFonts w:cstheme="minorHAnsi"/>
          <w:color w:val="000000"/>
          <w:spacing w:val="-2"/>
          <w:sz w:val="28"/>
          <w:szCs w:val="28"/>
        </w:rPr>
        <w:t xml:space="preserve"> Politik und Zeitgeschichte/bpb.de</w:t>
      </w:r>
      <w:r w:rsidRPr="00BB7239">
        <w:rPr>
          <w:rFonts w:cstheme="minorHAnsi"/>
          <w:color w:val="000000"/>
          <w:spacing w:val="-2"/>
          <w:sz w:val="28"/>
          <w:szCs w:val="28"/>
        </w:rPr>
        <w:br/>
      </w:r>
    </w:p>
    <w:p w14:paraId="2CEC8709" w14:textId="77777777" w:rsidR="00BB7239" w:rsidRPr="00BB7239" w:rsidRDefault="00BB7239" w:rsidP="00BB7239">
      <w:pPr>
        <w:spacing w:after="0" w:line="240" w:lineRule="auto"/>
        <w:jc w:val="center"/>
        <w:rPr>
          <w:rFonts w:cstheme="minorHAnsi"/>
          <w:color w:val="000000"/>
          <w:spacing w:val="-2"/>
          <w:sz w:val="8"/>
          <w:szCs w:val="8"/>
        </w:rPr>
      </w:pPr>
    </w:p>
    <w:p w14:paraId="18873662" w14:textId="7F5CF9EA" w:rsidR="00DE3B21" w:rsidRPr="00DE3B21" w:rsidRDefault="00DE3B21" w:rsidP="00BB7239">
      <w:pPr>
        <w:spacing w:after="0" w:line="240" w:lineRule="auto"/>
        <w:jc w:val="center"/>
        <w:rPr>
          <w:rFonts w:cstheme="minorHAnsi"/>
          <w:color w:val="000000"/>
          <w:spacing w:val="-2"/>
          <w:sz w:val="28"/>
          <w:szCs w:val="28"/>
        </w:rPr>
      </w:pPr>
      <w:r w:rsidRPr="00DE3B21">
        <w:rPr>
          <w:rFonts w:cstheme="minorHAnsi"/>
          <w:b/>
          <w:bCs/>
          <w:color w:val="000000"/>
          <w:spacing w:val="-2"/>
          <w:sz w:val="28"/>
          <w:szCs w:val="28"/>
        </w:rPr>
        <w:t>Univ.- Prof. Dr. Heinz Gärtner</w:t>
      </w:r>
      <w:r w:rsidRPr="00DE3B21">
        <w:rPr>
          <w:rFonts w:cstheme="minorHAnsi"/>
          <w:color w:val="000000"/>
          <w:spacing w:val="-2"/>
          <w:sz w:val="28"/>
          <w:szCs w:val="28"/>
        </w:rPr>
        <w:br/>
      </w:r>
      <w:proofErr w:type="spellStart"/>
      <w:r w:rsidRPr="00DE3B21">
        <w:rPr>
          <w:rFonts w:cstheme="minorHAnsi"/>
          <w:color w:val="000000"/>
          <w:spacing w:val="-2"/>
          <w:sz w:val="28"/>
          <w:szCs w:val="28"/>
        </w:rPr>
        <w:t>Lecturer</w:t>
      </w:r>
      <w:proofErr w:type="spellEnd"/>
      <w:r w:rsidRPr="00DE3B21">
        <w:rPr>
          <w:rFonts w:cstheme="minorHAnsi"/>
          <w:color w:val="000000"/>
          <w:spacing w:val="-2"/>
          <w:sz w:val="28"/>
          <w:szCs w:val="28"/>
        </w:rPr>
        <w:t xml:space="preserve"> </w:t>
      </w:r>
      <w:proofErr w:type="spellStart"/>
      <w:r w:rsidRPr="00DE3B21">
        <w:rPr>
          <w:rFonts w:cstheme="minorHAnsi"/>
          <w:color w:val="000000"/>
          <w:spacing w:val="-2"/>
          <w:sz w:val="28"/>
          <w:szCs w:val="28"/>
        </w:rPr>
        <w:t>for</w:t>
      </w:r>
      <w:proofErr w:type="spellEnd"/>
      <w:r w:rsidRPr="00DE3B21">
        <w:rPr>
          <w:rFonts w:cstheme="minorHAnsi"/>
          <w:color w:val="000000"/>
          <w:spacing w:val="-2"/>
          <w:sz w:val="28"/>
          <w:szCs w:val="28"/>
        </w:rPr>
        <w:t xml:space="preserve"> Political Science at </w:t>
      </w:r>
      <w:proofErr w:type="spellStart"/>
      <w:r w:rsidRPr="00DE3B21">
        <w:rPr>
          <w:rFonts w:cstheme="minorHAnsi"/>
          <w:color w:val="000000"/>
          <w:spacing w:val="-2"/>
          <w:sz w:val="28"/>
          <w:szCs w:val="28"/>
        </w:rPr>
        <w:t>the</w:t>
      </w:r>
      <w:proofErr w:type="spellEnd"/>
      <w:r w:rsidRPr="00DE3B21">
        <w:rPr>
          <w:rFonts w:cstheme="minorHAnsi"/>
          <w:color w:val="000000"/>
          <w:spacing w:val="-2"/>
          <w:sz w:val="28"/>
          <w:szCs w:val="28"/>
        </w:rPr>
        <w:t xml:space="preserve"> University </w:t>
      </w:r>
      <w:proofErr w:type="spellStart"/>
      <w:r w:rsidRPr="00DE3B21">
        <w:rPr>
          <w:rFonts w:cstheme="minorHAnsi"/>
          <w:color w:val="000000"/>
          <w:spacing w:val="-2"/>
          <w:sz w:val="28"/>
          <w:szCs w:val="28"/>
        </w:rPr>
        <w:t>of</w:t>
      </w:r>
      <w:proofErr w:type="spellEnd"/>
      <w:r w:rsidRPr="00DE3B21">
        <w:rPr>
          <w:rFonts w:cstheme="minorHAnsi"/>
          <w:color w:val="000000"/>
          <w:spacing w:val="-2"/>
          <w:sz w:val="28"/>
          <w:szCs w:val="28"/>
        </w:rPr>
        <w:t xml:space="preserve"> Vienna;</w:t>
      </w:r>
      <w:r w:rsidRPr="00DE3B21">
        <w:rPr>
          <w:rFonts w:cstheme="minorHAnsi"/>
          <w:color w:val="000000"/>
          <w:spacing w:val="-2"/>
          <w:sz w:val="28"/>
          <w:szCs w:val="28"/>
        </w:rPr>
        <w:br/>
        <w:t xml:space="preserve">Chair </w:t>
      </w:r>
      <w:proofErr w:type="spellStart"/>
      <w:r w:rsidRPr="00DE3B21">
        <w:rPr>
          <w:rFonts w:cstheme="minorHAnsi"/>
          <w:color w:val="000000"/>
          <w:spacing w:val="-2"/>
          <w:sz w:val="28"/>
          <w:szCs w:val="28"/>
        </w:rPr>
        <w:t>of</w:t>
      </w:r>
      <w:proofErr w:type="spellEnd"/>
      <w:r w:rsidRPr="00DE3B21">
        <w:rPr>
          <w:rFonts w:cstheme="minorHAnsi"/>
          <w:color w:val="000000"/>
          <w:spacing w:val="-2"/>
          <w:sz w:val="28"/>
          <w:szCs w:val="28"/>
        </w:rPr>
        <w:t xml:space="preserve"> </w:t>
      </w:r>
      <w:proofErr w:type="spellStart"/>
      <w:r w:rsidRPr="00DE3B21">
        <w:rPr>
          <w:rFonts w:cstheme="minorHAnsi"/>
          <w:color w:val="000000"/>
          <w:spacing w:val="-2"/>
          <w:sz w:val="28"/>
          <w:szCs w:val="28"/>
        </w:rPr>
        <w:t>the</w:t>
      </w:r>
      <w:proofErr w:type="spellEnd"/>
      <w:r w:rsidRPr="00DE3B21">
        <w:rPr>
          <w:rFonts w:cstheme="minorHAnsi"/>
          <w:color w:val="000000"/>
          <w:spacing w:val="-2"/>
          <w:sz w:val="28"/>
          <w:szCs w:val="28"/>
        </w:rPr>
        <w:t xml:space="preserve"> Advisory Board </w:t>
      </w:r>
      <w:proofErr w:type="spellStart"/>
      <w:r w:rsidRPr="00DE3B21">
        <w:rPr>
          <w:rFonts w:cstheme="minorHAnsi"/>
          <w:color w:val="000000"/>
          <w:spacing w:val="-2"/>
          <w:sz w:val="28"/>
          <w:szCs w:val="28"/>
        </w:rPr>
        <w:t>of</w:t>
      </w:r>
      <w:proofErr w:type="spellEnd"/>
      <w:r w:rsidRPr="00DE3B21">
        <w:rPr>
          <w:rFonts w:cstheme="minorHAnsi"/>
          <w:color w:val="000000"/>
          <w:spacing w:val="-2"/>
          <w:sz w:val="28"/>
          <w:szCs w:val="28"/>
        </w:rPr>
        <w:t xml:space="preserve"> </w:t>
      </w:r>
      <w:proofErr w:type="spellStart"/>
      <w:r w:rsidRPr="00DE3B21">
        <w:rPr>
          <w:rFonts w:cstheme="minorHAnsi"/>
          <w:color w:val="000000"/>
          <w:spacing w:val="-2"/>
          <w:sz w:val="28"/>
          <w:szCs w:val="28"/>
        </w:rPr>
        <w:t>the</w:t>
      </w:r>
      <w:proofErr w:type="spellEnd"/>
      <w:r w:rsidRPr="00DE3B21">
        <w:rPr>
          <w:rFonts w:cstheme="minorHAnsi"/>
          <w:color w:val="000000"/>
          <w:spacing w:val="-2"/>
          <w:sz w:val="28"/>
          <w:szCs w:val="28"/>
        </w:rPr>
        <w:t xml:space="preserve"> International Institute </w:t>
      </w:r>
      <w:proofErr w:type="spellStart"/>
      <w:r w:rsidRPr="00DE3B21">
        <w:rPr>
          <w:rFonts w:cstheme="minorHAnsi"/>
          <w:color w:val="000000"/>
          <w:spacing w:val="-2"/>
          <w:sz w:val="28"/>
          <w:szCs w:val="28"/>
        </w:rPr>
        <w:t>for</w:t>
      </w:r>
      <w:proofErr w:type="spellEnd"/>
      <w:r w:rsidRPr="00DE3B21">
        <w:rPr>
          <w:rFonts w:cstheme="minorHAnsi"/>
          <w:color w:val="000000"/>
          <w:spacing w:val="-2"/>
          <w:sz w:val="28"/>
          <w:szCs w:val="28"/>
        </w:rPr>
        <w:t xml:space="preserve"> Peace (IIP)</w:t>
      </w:r>
      <w:r w:rsidRPr="00DE3B21">
        <w:rPr>
          <w:rFonts w:cstheme="minorHAnsi"/>
          <w:color w:val="000000"/>
          <w:spacing w:val="-2"/>
          <w:sz w:val="28"/>
          <w:szCs w:val="28"/>
        </w:rPr>
        <w:br/>
        <w:t xml:space="preserve">Chair </w:t>
      </w:r>
      <w:proofErr w:type="spellStart"/>
      <w:r w:rsidRPr="00DE3B21">
        <w:rPr>
          <w:rFonts w:cstheme="minorHAnsi"/>
          <w:color w:val="000000"/>
          <w:spacing w:val="-2"/>
          <w:sz w:val="28"/>
          <w:szCs w:val="28"/>
        </w:rPr>
        <w:t>of</w:t>
      </w:r>
      <w:proofErr w:type="spellEnd"/>
      <w:r w:rsidRPr="00DE3B21">
        <w:rPr>
          <w:rFonts w:cstheme="minorHAnsi"/>
          <w:color w:val="000000"/>
          <w:spacing w:val="-2"/>
          <w:sz w:val="28"/>
          <w:szCs w:val="28"/>
        </w:rPr>
        <w:t xml:space="preserve"> </w:t>
      </w:r>
      <w:proofErr w:type="spellStart"/>
      <w:r w:rsidRPr="00DE3B21">
        <w:rPr>
          <w:rFonts w:cstheme="minorHAnsi"/>
          <w:color w:val="000000"/>
          <w:spacing w:val="-2"/>
          <w:sz w:val="28"/>
          <w:szCs w:val="28"/>
        </w:rPr>
        <w:t>the</w:t>
      </w:r>
      <w:proofErr w:type="spellEnd"/>
      <w:r w:rsidRPr="00DE3B21">
        <w:rPr>
          <w:rFonts w:cstheme="minorHAnsi"/>
          <w:color w:val="000000"/>
          <w:spacing w:val="-2"/>
          <w:sz w:val="28"/>
          <w:szCs w:val="28"/>
        </w:rPr>
        <w:t xml:space="preserve"> Advisory Committee </w:t>
      </w:r>
      <w:proofErr w:type="spellStart"/>
      <w:r w:rsidRPr="00DE3B21">
        <w:rPr>
          <w:rFonts w:cstheme="minorHAnsi"/>
          <w:color w:val="000000"/>
          <w:spacing w:val="-2"/>
          <w:sz w:val="28"/>
          <w:szCs w:val="28"/>
        </w:rPr>
        <w:t>for</w:t>
      </w:r>
      <w:proofErr w:type="spellEnd"/>
      <w:r w:rsidRPr="00DE3B21">
        <w:rPr>
          <w:rFonts w:cstheme="minorHAnsi"/>
          <w:color w:val="000000"/>
          <w:spacing w:val="-2"/>
          <w:sz w:val="28"/>
          <w:szCs w:val="28"/>
        </w:rPr>
        <w:t xml:space="preserve"> </w:t>
      </w:r>
      <w:proofErr w:type="spellStart"/>
      <w:r w:rsidRPr="00DE3B21">
        <w:rPr>
          <w:rFonts w:cstheme="minorHAnsi"/>
          <w:color w:val="000000"/>
          <w:spacing w:val="-2"/>
          <w:sz w:val="28"/>
          <w:szCs w:val="28"/>
        </w:rPr>
        <w:t>Strategy</w:t>
      </w:r>
      <w:proofErr w:type="spellEnd"/>
      <w:r w:rsidRPr="00DE3B21">
        <w:rPr>
          <w:rFonts w:cstheme="minorHAnsi"/>
          <w:color w:val="000000"/>
          <w:spacing w:val="-2"/>
          <w:sz w:val="28"/>
          <w:szCs w:val="28"/>
        </w:rPr>
        <w:t xml:space="preserve"> and Security Policy </w:t>
      </w:r>
      <w:proofErr w:type="spellStart"/>
      <w:r w:rsidRPr="00DE3B21">
        <w:rPr>
          <w:rFonts w:cstheme="minorHAnsi"/>
          <w:color w:val="000000"/>
          <w:spacing w:val="-2"/>
          <w:sz w:val="28"/>
          <w:szCs w:val="28"/>
        </w:rPr>
        <w:t>of</w:t>
      </w:r>
      <w:proofErr w:type="spellEnd"/>
      <w:r w:rsidRPr="00DE3B21">
        <w:rPr>
          <w:rFonts w:cstheme="minorHAnsi"/>
          <w:color w:val="000000"/>
          <w:spacing w:val="-2"/>
          <w:sz w:val="28"/>
          <w:szCs w:val="28"/>
        </w:rPr>
        <w:t xml:space="preserve"> </w:t>
      </w:r>
      <w:proofErr w:type="spellStart"/>
      <w:r w:rsidRPr="00DE3B21">
        <w:rPr>
          <w:rFonts w:cstheme="minorHAnsi"/>
          <w:color w:val="000000"/>
          <w:spacing w:val="-2"/>
          <w:sz w:val="28"/>
          <w:szCs w:val="28"/>
        </w:rPr>
        <w:t>the</w:t>
      </w:r>
      <w:proofErr w:type="spellEnd"/>
      <w:r w:rsidRPr="00DE3B21">
        <w:rPr>
          <w:rFonts w:cstheme="minorHAnsi"/>
          <w:color w:val="000000"/>
          <w:spacing w:val="-2"/>
          <w:sz w:val="28"/>
          <w:szCs w:val="28"/>
        </w:rPr>
        <w:t xml:space="preserve"> Scientific </w:t>
      </w:r>
      <w:proofErr w:type="spellStart"/>
      <w:r w:rsidRPr="00DE3B21">
        <w:rPr>
          <w:rFonts w:cstheme="minorHAnsi"/>
          <w:color w:val="000000"/>
          <w:spacing w:val="-2"/>
          <w:sz w:val="28"/>
          <w:szCs w:val="28"/>
        </w:rPr>
        <w:t>Commission</w:t>
      </w:r>
      <w:proofErr w:type="spellEnd"/>
      <w:r w:rsidRPr="00DE3B21">
        <w:rPr>
          <w:rFonts w:cstheme="minorHAnsi"/>
          <w:color w:val="000000"/>
          <w:spacing w:val="-2"/>
          <w:sz w:val="28"/>
          <w:szCs w:val="28"/>
        </w:rPr>
        <w:t xml:space="preserve"> at </w:t>
      </w:r>
      <w:proofErr w:type="spellStart"/>
      <w:r w:rsidRPr="00DE3B21">
        <w:rPr>
          <w:rFonts w:cstheme="minorHAnsi"/>
          <w:color w:val="000000"/>
          <w:spacing w:val="-2"/>
          <w:sz w:val="28"/>
          <w:szCs w:val="28"/>
        </w:rPr>
        <w:t>the</w:t>
      </w:r>
      <w:proofErr w:type="spellEnd"/>
      <w:r w:rsidRPr="00DE3B21">
        <w:rPr>
          <w:rFonts w:cstheme="minorHAnsi"/>
          <w:color w:val="000000"/>
          <w:spacing w:val="-2"/>
          <w:sz w:val="28"/>
          <w:szCs w:val="28"/>
        </w:rPr>
        <w:t xml:space="preserve"> Austrian </w:t>
      </w:r>
      <w:proofErr w:type="spellStart"/>
      <w:r w:rsidRPr="00DE3B21">
        <w:rPr>
          <w:rFonts w:cstheme="minorHAnsi"/>
          <w:color w:val="000000"/>
          <w:spacing w:val="-2"/>
          <w:sz w:val="28"/>
          <w:szCs w:val="28"/>
        </w:rPr>
        <w:t>Armed</w:t>
      </w:r>
      <w:proofErr w:type="spellEnd"/>
      <w:r w:rsidRPr="00DE3B21">
        <w:rPr>
          <w:rFonts w:cstheme="minorHAnsi"/>
          <w:color w:val="000000"/>
          <w:spacing w:val="-2"/>
          <w:sz w:val="28"/>
          <w:szCs w:val="28"/>
        </w:rPr>
        <w:t xml:space="preserve"> Forces (BMLV)</w:t>
      </w:r>
      <w:r w:rsidRPr="00DE3B21">
        <w:rPr>
          <w:rFonts w:cstheme="minorHAnsi"/>
          <w:color w:val="000000"/>
          <w:spacing w:val="-2"/>
          <w:sz w:val="28"/>
          <w:szCs w:val="28"/>
        </w:rPr>
        <w:br/>
      </w:r>
    </w:p>
    <w:p w14:paraId="2D7455BA" w14:textId="630986C7" w:rsidR="00BF78D2" w:rsidRDefault="00BF78D2" w:rsidP="00BF78D2">
      <w:pPr>
        <w:jc w:val="center"/>
      </w:pPr>
      <w:r>
        <w:rPr>
          <w:noProof/>
        </w:rPr>
        <w:lastRenderedPageBreak/>
        <w:drawing>
          <wp:inline distT="0" distB="0" distL="0" distR="0" wp14:anchorId="7F8461B2" wp14:editId="14A4EEF7">
            <wp:extent cx="4953817" cy="754058"/>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22504" cy="764513"/>
                    </a:xfrm>
                    <a:prstGeom prst="rect">
                      <a:avLst/>
                    </a:prstGeom>
                    <a:noFill/>
                    <a:ln>
                      <a:noFill/>
                    </a:ln>
                  </pic:spPr>
                </pic:pic>
              </a:graphicData>
            </a:graphic>
          </wp:inline>
        </w:drawing>
      </w:r>
    </w:p>
    <w:sectPr w:rsidR="00BF78D2" w:rsidSect="00BF78D2">
      <w:pgSz w:w="11906" w:h="16838"/>
      <w:pgMar w:top="720" w:right="720" w:bottom="82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21"/>
    <w:rsid w:val="00724746"/>
    <w:rsid w:val="007462DB"/>
    <w:rsid w:val="00BB7239"/>
    <w:rsid w:val="00BF78D2"/>
    <w:rsid w:val="00DE3B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36220"/>
  <w15:chartTrackingRefBased/>
  <w15:docId w15:val="{30907F2C-9296-49BE-8062-72B230018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DE3B21"/>
    <w:rPr>
      <w:color w:val="0000FF"/>
      <w:u w:val="single"/>
    </w:rPr>
  </w:style>
  <w:style w:type="character" w:styleId="BesuchterLink">
    <w:name w:val="FollowedHyperlink"/>
    <w:basedOn w:val="Absatz-Standardschriftart"/>
    <w:uiPriority w:val="99"/>
    <w:semiHidden/>
    <w:unhideWhenUsed/>
    <w:rsid w:val="00BF78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3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reativecommons.org/licenses/by-nc-nd/3.0/de/" TargetMode="External"/><Relationship Id="rId5" Type="http://schemas.openxmlformats.org/officeDocument/2006/relationships/hyperlink" Target="https://mail.a1.net/webmail/redirect?u=https%3A%2F%2Fwww.bpb.de%2Fshop%2Fzeitschriften%2Fapuz%2Finternationale-sicherheit-2022%2F513512%2Fzwischen-den-bloecken%2F"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w_leisch</dc:creator>
  <cp:keywords/>
  <dc:description/>
  <cp:lastModifiedBy>w_leisch</cp:lastModifiedBy>
  <cp:revision>1</cp:revision>
  <dcterms:created xsi:type="dcterms:W3CDTF">2022-10-04T10:52:00Z</dcterms:created>
  <dcterms:modified xsi:type="dcterms:W3CDTF">2022-10-04T11:32:00Z</dcterms:modified>
</cp:coreProperties>
</file>